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11" w:rsidRPr="005A5911" w:rsidRDefault="005A5911" w:rsidP="005A5911">
      <w:pPr>
        <w:pBdr>
          <w:bottom w:val="single" w:sz="6" w:space="6" w:color="C5C5C5"/>
        </w:pBdr>
        <w:spacing w:after="105" w:line="312" w:lineRule="atLeast"/>
        <w:outlineLvl w:val="0"/>
        <w:rPr>
          <w:rFonts w:ascii="Georgia" w:eastAsia="Times New Roman" w:hAnsi="Georgia" w:cs="Times New Roman"/>
          <w:kern w:val="36"/>
          <w:sz w:val="28"/>
          <w:szCs w:val="28"/>
          <w:lang w:eastAsia="ru-RU"/>
        </w:rPr>
      </w:pPr>
      <w:bookmarkStart w:id="0" w:name="_GoBack"/>
      <w:r w:rsidRPr="005A5911">
        <w:rPr>
          <w:rFonts w:ascii="Georgia" w:eastAsia="Times New Roman" w:hAnsi="Georgia" w:cs="Times New Roman"/>
          <w:kern w:val="36"/>
          <w:sz w:val="28"/>
          <w:szCs w:val="28"/>
          <w:lang w:eastAsia="ru-RU"/>
        </w:rPr>
        <w:t>СТАНДАРТ антикоррупционного поведения государственного служащего</w:t>
      </w:r>
    </w:p>
    <w:bookmarkEnd w:id="0"/>
    <w:p w:rsidR="005A5911" w:rsidRPr="005A5911" w:rsidRDefault="005A5911" w:rsidP="005A5911">
      <w:pPr>
        <w:spacing w:after="270" w:line="240" w:lineRule="auto"/>
        <w:ind w:left="4253"/>
        <w:jc w:val="right"/>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Одобрен решением Координационного совета</w:t>
      </w:r>
      <w:r w:rsidRPr="005A5911">
        <w:rPr>
          <w:rFonts w:ascii="Arial" w:eastAsia="Times New Roman" w:hAnsi="Arial" w:cs="Arial"/>
          <w:color w:val="000000"/>
          <w:sz w:val="18"/>
          <w:szCs w:val="18"/>
          <w:lang w:eastAsia="ru-RU"/>
        </w:rPr>
        <w:br/>
        <w:t>Приволжского федерального округа по</w:t>
      </w:r>
      <w:r w:rsidRPr="005A5911">
        <w:rPr>
          <w:rFonts w:ascii="Arial" w:eastAsia="Times New Roman" w:hAnsi="Arial" w:cs="Arial"/>
          <w:color w:val="000000"/>
          <w:sz w:val="18"/>
          <w:szCs w:val="18"/>
          <w:lang w:eastAsia="ru-RU"/>
        </w:rPr>
        <w:br/>
        <w:t>государственной кадровой политике</w:t>
      </w:r>
      <w:r w:rsidRPr="005A5911">
        <w:rPr>
          <w:rFonts w:ascii="Arial" w:eastAsia="Times New Roman" w:hAnsi="Arial" w:cs="Arial"/>
          <w:color w:val="000000"/>
          <w:sz w:val="18"/>
          <w:szCs w:val="18"/>
          <w:lang w:eastAsia="ru-RU"/>
        </w:rPr>
        <w:br/>
        <w:t>от 18 февраля 2011 г. №  А53-856пр</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xml:space="preserve">1. Стандарт антикоррупционного поведения государственного служащего </w:t>
      </w:r>
      <w:r w:rsidRPr="005A5911">
        <w:rPr>
          <w:rFonts w:ascii="Arial" w:eastAsia="Times New Roman" w:hAnsi="Arial" w:cs="Arial"/>
          <w:color w:val="000000"/>
          <w:sz w:val="18"/>
          <w:szCs w:val="18"/>
          <w:lang w:eastAsia="ru-RU"/>
        </w:rPr>
        <w:softHyphen/>
        <w:t>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государственных служащих.</w:t>
      </w:r>
    </w:p>
    <w:p w:rsidR="005A5911" w:rsidRPr="005A5911" w:rsidRDefault="005A5911" w:rsidP="005A5911">
      <w:pPr>
        <w:spacing w:after="270" w:line="240" w:lineRule="auto"/>
        <w:ind w:left="13"/>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2. Стандарт антикоррупционного поведения государственного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государственного служащего должно соответствовать этическим правилам, сформировавшимся в обществе.</w:t>
      </w:r>
    </w:p>
    <w:p w:rsidR="005A5911" w:rsidRPr="005A5911" w:rsidRDefault="005A5911" w:rsidP="005A5911">
      <w:pPr>
        <w:spacing w:after="270" w:line="240" w:lineRule="auto"/>
        <w:ind w:left="18"/>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 В основе поведения государственного служащего лежит фактор непосредственных действий по исполнению должностных обязанностей в соответствии с должностным регламентом</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реализация прав и обязанностей;</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несение ответственности за неисполнение (ненадлежащее исполнение) должностных обязанностей в соответствии задачами и функциями государственного органа и функциональными особенностями замещаемой в нем должности;</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принятие управленческих и иных решений по вопросам, закрепленным в должностном регламенте;</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участие в подготовке проектов нормативных правовых актов и (или) проектов управленческих и иных решений;</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взаимодействие в связи с исполнением должностных обязанностей с государственными служащими того же государственного органа, иных государственных органов, другими гражданами, а также с организациями;</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-'оказание государственных услуг гражданам и организациям в соответствии с регламентом государственного органа.</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3.1. Представление достоверных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Предоставление сведений осуществляется гражданином, претендующим на замещение должности государственной службы, включенной в перечень, установленный нормативными правовыми актами Российской Федерации, а также государственным служащим, замещающим указанную должность государственной службы.</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xml:space="preserve">Непредставление 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Невыполнение государственным служащим вышеуказанной обязанности, является </w:t>
      </w:r>
      <w:proofErr w:type="gramStart"/>
      <w:r w:rsidRPr="005A5911">
        <w:rPr>
          <w:rFonts w:ascii="Arial" w:eastAsia="Times New Roman" w:hAnsi="Arial" w:cs="Arial"/>
          <w:color w:val="000000"/>
          <w:sz w:val="18"/>
          <w:szCs w:val="18"/>
          <w:lang w:eastAsia="ru-RU"/>
        </w:rPr>
        <w:t>право нарушением</w:t>
      </w:r>
      <w:proofErr w:type="gramEnd"/>
      <w:r w:rsidRPr="005A5911">
        <w:rPr>
          <w:rFonts w:ascii="Arial" w:eastAsia="Times New Roman" w:hAnsi="Arial" w:cs="Arial"/>
          <w:color w:val="000000"/>
          <w:sz w:val="18"/>
          <w:szCs w:val="18"/>
          <w:lang w:eastAsia="ru-RU"/>
        </w:rPr>
        <w:t>,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3.2. Предварительное уведомление представителя нанимателя о намерении выполнять иную оплачиваемую работу.</w:t>
      </w:r>
    </w:p>
    <w:p w:rsidR="005A5911" w:rsidRPr="005A5911" w:rsidRDefault="005A5911" w:rsidP="005A5911">
      <w:pPr>
        <w:spacing w:after="270" w:line="240" w:lineRule="auto"/>
        <w:ind w:left="1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Государственный служащий вправе выполнять иную оплачиваемую работу при условии:</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lastRenderedPageBreak/>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государственной службы: время осуществления иной работы, заработная плата, выполняемые им иные функции);</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государственный служащий предварительно уведомил представителя нанимателя об этом (это должно быть сделано в письменном виде и у государственного служащего до начала осуществления иной оплачиваемой деятельности должно быть подтверждение, что представитель нанимателя уведомлен).</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3.3. Получение письменного разрешения представителя нанимателя:</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государственного служащего входит взаимодействие с указанными организациями и объединениями.</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3.4. Передача подарков, полученных государственным служащим в связи с протокольными мероприятиями, со служебными командировками и с другими официальными мероприятиями, в государственный орган, за исключением случаев, установленных Гражданским кодексом Российской Федерации.</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Указанное правило применяется в случае, если стоимость подарков превышает три тысячи рублей. Вместе с этим государственный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государственного служащего. Поведение государственного служащего в этом случае направлено на то, чтобы получение подарка, не было связано с его личной выгодой.</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3.5. Передача принадлежащих государственному служащему ценных бумаг, акций (долей участия, паев в уставных (складочных) капиталах организаций) в доверительное управление.</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Указанное действие государственного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государственный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3.6. Отсутствие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 перевода на другую должность в этом же или другом государственном органе.</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3.7. Использование средств материально-технического и иного обеспечения, другого государственного имущества только в связи с исполнением должностных обязанностей.</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В противном случае действия государственного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государственного имущества другим лицам.</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xml:space="preserve">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Лица, находящиеся на </w:t>
      </w:r>
      <w:r w:rsidRPr="005A5911">
        <w:rPr>
          <w:rFonts w:ascii="Arial" w:eastAsia="Times New Roman" w:hAnsi="Arial" w:cs="Arial"/>
          <w:color w:val="000000"/>
          <w:sz w:val="18"/>
          <w:szCs w:val="18"/>
          <w:lang w:eastAsia="ru-RU"/>
        </w:rPr>
        <w:lastRenderedPageBreak/>
        <w:t>государственной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государственным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3.9. Поддержание уровня квалификации, необходимого для надлежащего исполнения должностных обязанностей, в части антикоррупционной составляющей.</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Государственный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государственного служащего может осуществляться в любых не запрещенных законом формах и видах.</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служащего. </w:t>
      </w:r>
      <w:proofErr w:type="gramStart"/>
      <w:r w:rsidRPr="005A5911">
        <w:rPr>
          <w:rFonts w:ascii="Arial" w:eastAsia="Times New Roman" w:hAnsi="Arial" w:cs="Arial"/>
          <w:color w:val="000000"/>
          <w:sz w:val="18"/>
          <w:szCs w:val="18"/>
          <w:lang w:eastAsia="ru-RU"/>
        </w:rPr>
        <w:t>Государственный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государственными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Невыполнение вышеуказанной обязанности является правонарушением, влекущим увольнение с государственной службы либо привлечение к иным видам ответственности в соответствии с законодательством Российской Федерации.</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3.11. Письменное уведомление своего непосредственного руководителя о возникшем конфликте интересов или о возможности его возникновения.</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Государственный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в изменении должностного или служебного положения государственного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5A5911" w:rsidRPr="005A5911" w:rsidRDefault="005A5911" w:rsidP="005A5911">
      <w:pPr>
        <w:spacing w:after="270" w:line="240" w:lineRule="auto"/>
        <w:ind w:left="1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в отказе государственного служащего от выгоды, явившейся причиной возникновения конфликта интересов;</w:t>
      </w:r>
    </w:p>
    <w:p w:rsidR="005A5911" w:rsidRPr="005A5911" w:rsidRDefault="005A5911" w:rsidP="005A5911">
      <w:pPr>
        <w:spacing w:after="270" w:line="240" w:lineRule="auto"/>
        <w:ind w:left="1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в отводе или самоотводе государственного служащего.</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5A5911" w:rsidRPr="005A5911" w:rsidRDefault="005A5911" w:rsidP="005A5911">
      <w:pPr>
        <w:spacing w:after="270" w:line="240" w:lineRule="auto"/>
        <w:rPr>
          <w:rFonts w:ascii="Arial" w:eastAsia="Times New Roman" w:hAnsi="Arial" w:cs="Arial"/>
          <w:color w:val="000000"/>
          <w:sz w:val="18"/>
          <w:szCs w:val="18"/>
          <w:lang w:eastAsia="ru-RU"/>
        </w:rPr>
      </w:pPr>
      <w:proofErr w:type="gramStart"/>
      <w:r w:rsidRPr="005A5911">
        <w:rPr>
          <w:rFonts w:ascii="Arial" w:eastAsia="Times New Roman" w:hAnsi="Arial" w:cs="Arial"/>
          <w:color w:val="000000"/>
          <w:sz w:val="18"/>
          <w:szCs w:val="18"/>
          <w:lang w:eastAsia="ru-RU"/>
        </w:rPr>
        <w:t>Гражданин, замещавший должности государственной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служащего, с согласия соответствующей комиссии по соблюдению требований к служебному поведению и урегулированию конфликта интересов.</w:t>
      </w:r>
      <w:proofErr w:type="gramEnd"/>
      <w:r w:rsidRPr="005A5911">
        <w:rPr>
          <w:rFonts w:ascii="Arial" w:eastAsia="Times New Roman" w:hAnsi="Arial" w:cs="Arial"/>
          <w:color w:val="000000"/>
          <w:sz w:val="18"/>
          <w:szCs w:val="18"/>
          <w:lang w:eastAsia="ru-RU"/>
        </w:rPr>
        <w:t xml:space="preserve"> Решение комиссии являются обязательными для лица, замещавшего соответствующую должность.</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3.13. Сообщение представителю нанимателя (работодателю) сведений о последнем месте своей службы при заключении трудовых договоров.</w:t>
      </w:r>
    </w:p>
    <w:p w:rsidR="005A5911" w:rsidRPr="005A5911" w:rsidRDefault="005A5911" w:rsidP="005A5911">
      <w:pPr>
        <w:spacing w:after="270" w:line="240" w:lineRule="auto"/>
        <w:ind w:left="1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lastRenderedPageBreak/>
        <w:t>Гражданин, замещавший должности государственной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государственного служащего по последнему месту его службы.</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3.14. Государственный служащий, наделенный организационн</w:t>
      </w:r>
      <w:proofErr w:type="gramStart"/>
      <w:r w:rsidRPr="005A5911">
        <w:rPr>
          <w:rFonts w:ascii="Arial" w:eastAsia="Times New Roman" w:hAnsi="Arial" w:cs="Arial"/>
          <w:color w:val="000000"/>
          <w:sz w:val="18"/>
          <w:szCs w:val="18"/>
          <w:lang w:eastAsia="ru-RU"/>
        </w:rPr>
        <w:t>о-</w:t>
      </w:r>
      <w:proofErr w:type="gramEnd"/>
      <w:r w:rsidRPr="005A5911">
        <w:rPr>
          <w:rFonts w:ascii="Arial" w:eastAsia="Times New Roman" w:hAnsi="Arial" w:cs="Arial"/>
          <w:color w:val="000000"/>
          <w:sz w:val="18"/>
          <w:szCs w:val="18"/>
          <w:lang w:eastAsia="ru-RU"/>
        </w:rPr>
        <w:t xml:space="preserve"> распорядительными полномочиями по отношению к другим государственным служащим, призван:</w:t>
      </w:r>
    </w:p>
    <w:p w:rsidR="005A5911" w:rsidRPr="005A5911" w:rsidRDefault="005A5911" w:rsidP="005A5911">
      <w:pPr>
        <w:spacing w:after="270" w:line="240" w:lineRule="auto"/>
        <w:ind w:left="1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а) принимать меры по предотвращению и урегулированию конфликтов интересов</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б) принимать меры по предупреждению коррупции;</w:t>
      </w:r>
    </w:p>
    <w:p w:rsidR="005A5911" w:rsidRPr="005A5911" w:rsidRDefault="005A5911" w:rsidP="005A5911">
      <w:pPr>
        <w:spacing w:after="270" w:line="240" w:lineRule="auto"/>
        <w:ind w:left="1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в) не допускать случаев принуждения государственных служащих к участию в деятельности политических партий, иных общественных объединений.</w:t>
      </w:r>
    </w:p>
    <w:p w:rsidR="005A5911" w:rsidRPr="005A5911" w:rsidRDefault="005A5911" w:rsidP="005A5911">
      <w:pPr>
        <w:spacing w:after="270" w:line="240" w:lineRule="auto"/>
        <w:ind w:left="1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 Соблюдение запретов, ограничений, требований к служебному поведению, связанных с государственной службой.</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4.1. Не осуществлять предпринимательскую деятельность.</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государственной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5A5911" w:rsidRPr="005A5911" w:rsidRDefault="005A5911" w:rsidP="005A5911">
      <w:pPr>
        <w:spacing w:after="270" w:line="240" w:lineRule="auto"/>
        <w:ind w:left="1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4.2. Не участвовать на платной основе в деятельности органа управления коммерческой организацией.</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Ситуация, при которой государственный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 Вместе с этим государственный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 В то же время государственному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4.3. Не приобретать в случаях, установленных федеральным законом, ценные бумаги, по которым может быть получен доход.</w:t>
      </w:r>
    </w:p>
    <w:p w:rsidR="005A5911" w:rsidRPr="005A5911" w:rsidRDefault="005A5911" w:rsidP="005A5911">
      <w:pPr>
        <w:spacing w:after="270" w:line="240" w:lineRule="auto"/>
        <w:ind w:left="1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Государственный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5A5911" w:rsidRPr="005A5911" w:rsidRDefault="005A5911" w:rsidP="005A5911">
      <w:pPr>
        <w:spacing w:after="270" w:line="240" w:lineRule="auto"/>
        <w:ind w:left="1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4.4. Не быть поверенным или представителем по делам третьих лиц в государственном органе, в котором он замещает должность государственной службы, если иное не предусмотрено федеральными законами.</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Представитель действует не только от имени, но и в интересах представляемого. Поскольку по закону государственные служащие в рассматриваемой ситуации не могут иметь такого рода полномочий, сделку совершенную представителем - государственным служащим следует считать недействительной как заключенную неуполномоченным лицом. Государственный служащий, при наличии возможности получить полномочия по представлению интересов третьих лиц в государственном органе, в котором он работает, либо в структурах, подчиненных или подконтрольных этому органу, должен отказаться от данной возможности.</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lastRenderedPageBreak/>
        <w:t>Не допускается дарение, за исключением обычных подарков, стоимость которых не превышает трех тысяч рублей. Государственный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xml:space="preserve">4.6. </w:t>
      </w:r>
      <w:proofErr w:type="gramStart"/>
      <w:r w:rsidRPr="005A5911">
        <w:rPr>
          <w:rFonts w:ascii="Arial" w:eastAsia="Times New Roman" w:hAnsi="Arial" w:cs="Arial"/>
          <w:color w:val="000000"/>
          <w:sz w:val="18"/>
          <w:szCs w:val="18"/>
          <w:lang w:eastAsia="ru-RU"/>
        </w:rPr>
        <w:t>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roofErr w:type="gramEnd"/>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Государственный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4.7. Не разглашать и не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государственному служащему в связи с исполнением должностных обязанностей.</w:t>
      </w:r>
    </w:p>
    <w:p w:rsidR="005A5911" w:rsidRPr="005A5911" w:rsidRDefault="005A5911" w:rsidP="005A5911">
      <w:pPr>
        <w:spacing w:after="270" w:line="240" w:lineRule="auto"/>
        <w:ind w:left="73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К сведениям конфиденциального характера относятся:</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2004г.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5A5911" w:rsidRPr="005A5911" w:rsidRDefault="005A5911" w:rsidP="005A5911">
      <w:pPr>
        <w:spacing w:after="270" w:line="240" w:lineRule="auto"/>
        <w:ind w:left="1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сведения о сущности изобретения, полезной модели или промышленного образца до официальной публикации информации о них.</w:t>
      </w:r>
    </w:p>
    <w:p w:rsidR="005A5911" w:rsidRPr="005A5911" w:rsidRDefault="005A5911" w:rsidP="005A5911">
      <w:pPr>
        <w:spacing w:after="270" w:line="240" w:lineRule="auto"/>
        <w:ind w:left="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xml:space="preserve">Служебной информацией является любая информация, касающаяся деятельности государственного органа, за исключением общедоступной информации, а также информации о деятельности государственных органов доступ, к которой не может быть ограничен (Федеральный закон от 9 февраля </w:t>
      </w:r>
      <w:r w:rsidRPr="005A5911">
        <w:rPr>
          <w:rFonts w:ascii="Arial" w:eastAsia="Times New Roman" w:hAnsi="Arial" w:cs="Arial"/>
          <w:color w:val="000000"/>
          <w:sz w:val="18"/>
          <w:szCs w:val="18"/>
          <w:lang w:eastAsia="ru-RU"/>
        </w:rPr>
        <w:softHyphen/>
        <w:t>2009 г. № 8-ФЗ «Об обеспечении доступа к информации о деятельности государственных органов и органов местного самоуправления»).</w:t>
      </w:r>
    </w:p>
    <w:p w:rsidR="005A5911" w:rsidRPr="005A5911" w:rsidRDefault="005A5911" w:rsidP="005A5911">
      <w:pPr>
        <w:spacing w:after="270" w:line="240" w:lineRule="auto"/>
        <w:ind w:left="1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Указанное ограничение распространяется также на граждан после увольнения с государственной службы.</w:t>
      </w:r>
    </w:p>
    <w:p w:rsidR="005A5911" w:rsidRPr="005A5911" w:rsidRDefault="005A5911" w:rsidP="005A5911">
      <w:pPr>
        <w:spacing w:after="270" w:line="240" w:lineRule="auto"/>
        <w:ind w:left="19"/>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4.8. Не использовать преимущества должностного положения для предвыборной агитации, а также для агитации по вопросам референдума.</w:t>
      </w:r>
    </w:p>
    <w:p w:rsidR="005A5911" w:rsidRPr="005A5911" w:rsidRDefault="005A5911" w:rsidP="005A5911">
      <w:pPr>
        <w:spacing w:after="270" w:line="240" w:lineRule="auto"/>
        <w:ind w:left="73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Каждый государственный служащий имеет право:</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lastRenderedPageBreak/>
        <w:t>- быть выдвинутым кандидатом на выборах на государственную (или общественную) должность непосредственно либо в составе списка кандидатов в соответствии с законодательством Российской Федерации;</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Не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A5911" w:rsidRPr="005A5911" w:rsidRDefault="005A5911" w:rsidP="005A5911">
      <w:pPr>
        <w:spacing w:after="270" w:line="240" w:lineRule="auto"/>
        <w:ind w:left="13"/>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xml:space="preserve">Государственные служащие обязаны руководствоваться исключительно </w:t>
      </w:r>
      <w:proofErr w:type="gramStart"/>
      <w:r w:rsidRPr="005A5911">
        <w:rPr>
          <w:rFonts w:ascii="Arial" w:eastAsia="Times New Roman" w:hAnsi="Arial" w:cs="Arial"/>
          <w:color w:val="000000"/>
          <w:sz w:val="18"/>
          <w:szCs w:val="18"/>
          <w:lang w:eastAsia="ru-RU"/>
        </w:rPr>
        <w:t>законодательством</w:t>
      </w:r>
      <w:proofErr w:type="gramEnd"/>
      <w:r w:rsidRPr="005A5911">
        <w:rPr>
          <w:rFonts w:ascii="Arial" w:eastAsia="Times New Roman" w:hAnsi="Arial" w:cs="Arial"/>
          <w:color w:val="000000"/>
          <w:sz w:val="18"/>
          <w:szCs w:val="18"/>
          <w:lang w:eastAsia="ru-RU"/>
        </w:rPr>
        <w:t xml:space="preserve">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государственных органах.</w:t>
      </w:r>
    </w:p>
    <w:p w:rsidR="005A5911" w:rsidRPr="005A5911" w:rsidRDefault="005A5911" w:rsidP="005A5911">
      <w:pPr>
        <w:spacing w:after="270" w:line="240" w:lineRule="auto"/>
        <w:ind w:left="13"/>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Данный запрет полностью направлен на исключение возможности использования должностного положения государственного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5A5911" w:rsidRPr="005A5911" w:rsidRDefault="005A5911" w:rsidP="005A5911">
      <w:pPr>
        <w:spacing w:after="270" w:line="240" w:lineRule="auto"/>
        <w:ind w:left="13"/>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Исключение из этого запрета - право государственных служащих создавать или способствовать созданию профессиональных союзов, ветеранских и иных профессиональных ассоциаций.</w:t>
      </w:r>
    </w:p>
    <w:p w:rsidR="005A5911" w:rsidRPr="005A5911" w:rsidRDefault="005A5911" w:rsidP="005A5911">
      <w:pPr>
        <w:spacing w:after="270" w:line="240" w:lineRule="auto"/>
        <w:ind w:left="13"/>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5911" w:rsidRPr="005A5911" w:rsidRDefault="005A5911" w:rsidP="005A5911">
      <w:pPr>
        <w:spacing w:after="270" w:line="240" w:lineRule="auto"/>
        <w:ind w:left="13"/>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Указанное ограничение направлено на недопущение вмешательства в деятельность государственных органов иностранных организаций.</w:t>
      </w:r>
    </w:p>
    <w:p w:rsidR="005A5911" w:rsidRPr="005A5911" w:rsidRDefault="005A5911" w:rsidP="005A5911">
      <w:pPr>
        <w:spacing w:after="270" w:line="240" w:lineRule="auto"/>
        <w:ind w:left="13"/>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sidRPr="005A5911">
        <w:rPr>
          <w:rFonts w:ascii="Arial" w:eastAsia="Times New Roman" w:hAnsi="Arial" w:cs="Arial"/>
          <w:color w:val="000000"/>
          <w:sz w:val="18"/>
          <w:szCs w:val="18"/>
          <w:lang w:eastAsia="ru-RU"/>
        </w:rPr>
        <w:t>ств дл</w:t>
      </w:r>
      <w:proofErr w:type="gramEnd"/>
      <w:r w:rsidRPr="005A5911">
        <w:rPr>
          <w:rFonts w:ascii="Arial" w:eastAsia="Times New Roman" w:hAnsi="Arial" w:cs="Arial"/>
          <w:color w:val="000000"/>
          <w:sz w:val="18"/>
          <w:szCs w:val="18"/>
          <w:lang w:eastAsia="ru-RU"/>
        </w:rPr>
        <w:t>я указанного лица.</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5A5911" w:rsidRPr="005A5911" w:rsidRDefault="005A5911" w:rsidP="005A5911">
      <w:pPr>
        <w:spacing w:after="270" w:line="240" w:lineRule="auto"/>
        <w:ind w:left="4"/>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4.13. Не исполнять данное ему неправомерное поручение.</w:t>
      </w:r>
    </w:p>
    <w:p w:rsidR="005A5911" w:rsidRPr="005A5911" w:rsidRDefault="005A5911" w:rsidP="005A5911">
      <w:pPr>
        <w:spacing w:after="270" w:line="240" w:lineRule="auto"/>
        <w:ind w:left="18"/>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xml:space="preserve">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w:t>
      </w:r>
      <w:r w:rsidRPr="005A5911">
        <w:rPr>
          <w:rFonts w:ascii="Arial" w:eastAsia="Times New Roman" w:hAnsi="Arial" w:cs="Arial"/>
          <w:color w:val="000000"/>
          <w:sz w:val="18"/>
          <w:szCs w:val="18"/>
          <w:lang w:eastAsia="ru-RU"/>
        </w:rPr>
        <w:lastRenderedPageBreak/>
        <w:t>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w:t>
      </w:r>
    </w:p>
    <w:p w:rsidR="005A5911" w:rsidRPr="005A5911" w:rsidRDefault="005A5911" w:rsidP="005A5911">
      <w:pPr>
        <w:spacing w:after="270" w:line="240" w:lineRule="auto"/>
        <w:ind w:left="18"/>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xml:space="preserve">5.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w:t>
      </w:r>
      <w:proofErr w:type="gramStart"/>
      <w:r w:rsidRPr="005A5911">
        <w:rPr>
          <w:rFonts w:ascii="Arial" w:eastAsia="Times New Roman" w:hAnsi="Arial" w:cs="Arial"/>
          <w:color w:val="000000"/>
          <w:sz w:val="18"/>
          <w:szCs w:val="18"/>
          <w:lang w:eastAsia="ru-RU"/>
        </w:rPr>
        <w:t>ценностью</w:t>
      </w:r>
      <w:proofErr w:type="gramEnd"/>
      <w:r w:rsidRPr="005A5911">
        <w:rPr>
          <w:rFonts w:ascii="Arial" w:eastAsia="Times New Roman" w:hAnsi="Arial" w:cs="Arial"/>
          <w:color w:val="000000"/>
          <w:sz w:val="18"/>
          <w:szCs w:val="18"/>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A5911" w:rsidRPr="005A5911" w:rsidRDefault="005A5911" w:rsidP="005A5911">
      <w:pPr>
        <w:spacing w:after="270" w:line="240" w:lineRule="auto"/>
        <w:ind w:left="18"/>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6. Поведение государственного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5A5911" w:rsidRPr="005A5911" w:rsidRDefault="005A5911" w:rsidP="005A5911">
      <w:pPr>
        <w:spacing w:after="270" w:line="240" w:lineRule="auto"/>
        <w:ind w:left="18"/>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7. У государственного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5A5911" w:rsidRPr="005A5911" w:rsidRDefault="005A5911" w:rsidP="005A5911">
      <w:pPr>
        <w:spacing w:after="270" w:line="240" w:lineRule="auto"/>
        <w:ind w:left="18"/>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8. Государственный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5A5911" w:rsidRPr="005A5911" w:rsidRDefault="005A5911" w:rsidP="005A5911">
      <w:pPr>
        <w:spacing w:after="270" w:line="240" w:lineRule="auto"/>
        <w:ind w:left="18"/>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9. В служебном  поведении государственный служащий должен воздерживается от курения во время служебных совещаний, бесед, иного служебного общения с гражданами.</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10.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5A5911" w:rsidRPr="005A5911" w:rsidRDefault="005A5911" w:rsidP="005A5911">
      <w:pPr>
        <w:spacing w:after="270" w:line="240" w:lineRule="auto"/>
        <w:rPr>
          <w:rFonts w:ascii="Arial" w:eastAsia="Times New Roman" w:hAnsi="Arial" w:cs="Arial"/>
          <w:color w:val="000000"/>
          <w:sz w:val="18"/>
          <w:szCs w:val="18"/>
          <w:lang w:eastAsia="ru-RU"/>
        </w:rPr>
      </w:pPr>
      <w:r w:rsidRPr="005A5911">
        <w:rPr>
          <w:rFonts w:ascii="Arial" w:eastAsia="Times New Roman" w:hAnsi="Arial" w:cs="Arial"/>
          <w:color w:val="000000"/>
          <w:sz w:val="18"/>
          <w:szCs w:val="18"/>
          <w:lang w:eastAsia="ru-RU"/>
        </w:rPr>
        <w:t> </w:t>
      </w:r>
    </w:p>
    <w:p w:rsidR="00C71498" w:rsidRDefault="00C71498"/>
    <w:sectPr w:rsidR="00C71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01"/>
    <w:rsid w:val="005A5911"/>
    <w:rsid w:val="00A20601"/>
    <w:rsid w:val="00C7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911"/>
    <w:rPr>
      <w:rFonts w:ascii="Times New Roman" w:eastAsia="Times New Roman" w:hAnsi="Times New Roman" w:cs="Times New Roman"/>
      <w:b/>
      <w:bCs/>
      <w:kern w:val="36"/>
      <w:sz w:val="48"/>
      <w:szCs w:val="48"/>
      <w:lang w:eastAsia="ru-RU"/>
    </w:rPr>
  </w:style>
  <w:style w:type="paragraph" w:customStyle="1" w:styleId="rteright">
    <w:name w:val="rteright"/>
    <w:basedOn w:val="a"/>
    <w:rsid w:val="005A5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59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5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911"/>
    <w:rPr>
      <w:rFonts w:ascii="Times New Roman" w:eastAsia="Times New Roman" w:hAnsi="Times New Roman" w:cs="Times New Roman"/>
      <w:b/>
      <w:bCs/>
      <w:kern w:val="36"/>
      <w:sz w:val="48"/>
      <w:szCs w:val="48"/>
      <w:lang w:eastAsia="ru-RU"/>
    </w:rPr>
  </w:style>
  <w:style w:type="paragraph" w:customStyle="1" w:styleId="rteright">
    <w:name w:val="rteright"/>
    <w:basedOn w:val="a"/>
    <w:rsid w:val="005A5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59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9714">
      <w:bodyDiv w:val="1"/>
      <w:marLeft w:val="0"/>
      <w:marRight w:val="0"/>
      <w:marTop w:val="0"/>
      <w:marBottom w:val="0"/>
      <w:divBdr>
        <w:top w:val="none" w:sz="0" w:space="0" w:color="auto"/>
        <w:left w:val="none" w:sz="0" w:space="0" w:color="auto"/>
        <w:bottom w:val="none" w:sz="0" w:space="0" w:color="auto"/>
        <w:right w:val="none" w:sz="0" w:space="0" w:color="auto"/>
      </w:divBdr>
      <w:divsChild>
        <w:div w:id="349793372">
          <w:marLeft w:val="0"/>
          <w:marRight w:val="0"/>
          <w:marTop w:val="0"/>
          <w:marBottom w:val="0"/>
          <w:divBdr>
            <w:top w:val="none" w:sz="0" w:space="0" w:color="auto"/>
            <w:left w:val="none" w:sz="0" w:space="0" w:color="auto"/>
            <w:bottom w:val="none" w:sz="0" w:space="0" w:color="auto"/>
            <w:right w:val="none" w:sz="0" w:space="0" w:color="auto"/>
          </w:divBdr>
          <w:divsChild>
            <w:div w:id="220867010">
              <w:marLeft w:val="0"/>
              <w:marRight w:val="0"/>
              <w:marTop w:val="0"/>
              <w:marBottom w:val="0"/>
              <w:divBdr>
                <w:top w:val="none" w:sz="0" w:space="0" w:color="auto"/>
                <w:left w:val="none" w:sz="0" w:space="0" w:color="auto"/>
                <w:bottom w:val="none" w:sz="0" w:space="0" w:color="auto"/>
                <w:right w:val="none" w:sz="0" w:space="0" w:color="auto"/>
              </w:divBdr>
              <w:divsChild>
                <w:div w:id="178811128">
                  <w:marLeft w:val="0"/>
                  <w:marRight w:val="0"/>
                  <w:marTop w:val="0"/>
                  <w:marBottom w:val="0"/>
                  <w:divBdr>
                    <w:top w:val="none" w:sz="0" w:space="0" w:color="auto"/>
                    <w:left w:val="none" w:sz="0" w:space="0" w:color="auto"/>
                    <w:bottom w:val="none" w:sz="0" w:space="0" w:color="auto"/>
                    <w:right w:val="none" w:sz="0" w:space="0" w:color="auto"/>
                  </w:divBdr>
                  <w:divsChild>
                    <w:div w:id="2128085102">
                      <w:marLeft w:val="0"/>
                      <w:marRight w:val="0"/>
                      <w:marTop w:val="0"/>
                      <w:marBottom w:val="0"/>
                      <w:divBdr>
                        <w:top w:val="none" w:sz="0" w:space="0" w:color="auto"/>
                        <w:left w:val="none" w:sz="0" w:space="0" w:color="auto"/>
                        <w:bottom w:val="none" w:sz="0" w:space="0" w:color="auto"/>
                        <w:right w:val="none" w:sz="0" w:space="0" w:color="auto"/>
                      </w:divBdr>
                      <w:divsChild>
                        <w:div w:id="916860928">
                          <w:marLeft w:val="0"/>
                          <w:marRight w:val="0"/>
                          <w:marTop w:val="0"/>
                          <w:marBottom w:val="0"/>
                          <w:divBdr>
                            <w:top w:val="none" w:sz="0" w:space="0" w:color="auto"/>
                            <w:left w:val="none" w:sz="0" w:space="0" w:color="auto"/>
                            <w:bottom w:val="none" w:sz="0" w:space="0" w:color="auto"/>
                            <w:right w:val="none" w:sz="0" w:space="0" w:color="auto"/>
                          </w:divBdr>
                          <w:divsChild>
                            <w:div w:id="1997956521">
                              <w:marLeft w:val="0"/>
                              <w:marRight w:val="0"/>
                              <w:marTop w:val="0"/>
                              <w:marBottom w:val="0"/>
                              <w:divBdr>
                                <w:top w:val="none" w:sz="0" w:space="0" w:color="auto"/>
                                <w:left w:val="none" w:sz="0" w:space="0" w:color="auto"/>
                                <w:bottom w:val="none" w:sz="0" w:space="0" w:color="auto"/>
                                <w:right w:val="none" w:sz="0" w:space="0" w:color="auto"/>
                              </w:divBdr>
                              <w:divsChild>
                                <w:div w:id="1440028750">
                                  <w:marLeft w:val="0"/>
                                  <w:marRight w:val="0"/>
                                  <w:marTop w:val="0"/>
                                  <w:marBottom w:val="0"/>
                                  <w:divBdr>
                                    <w:top w:val="none" w:sz="0" w:space="0" w:color="auto"/>
                                    <w:left w:val="none" w:sz="0" w:space="0" w:color="auto"/>
                                    <w:bottom w:val="none" w:sz="0" w:space="0" w:color="auto"/>
                                    <w:right w:val="none" w:sz="0" w:space="0" w:color="auto"/>
                                  </w:divBdr>
                                  <w:divsChild>
                                    <w:div w:id="1580871959">
                                      <w:marLeft w:val="0"/>
                                      <w:marRight w:val="0"/>
                                      <w:marTop w:val="0"/>
                                      <w:marBottom w:val="0"/>
                                      <w:divBdr>
                                        <w:top w:val="none" w:sz="0" w:space="0" w:color="auto"/>
                                        <w:left w:val="none" w:sz="0" w:space="0" w:color="auto"/>
                                        <w:bottom w:val="none" w:sz="0" w:space="0" w:color="auto"/>
                                        <w:right w:val="none" w:sz="0" w:space="0" w:color="auto"/>
                                      </w:divBdr>
                                      <w:divsChild>
                                        <w:div w:id="2077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3907</Words>
  <Characters>22273</Characters>
  <Application>Microsoft Office Word</Application>
  <DocSecurity>0</DocSecurity>
  <Lines>185</Lines>
  <Paragraphs>52</Paragraphs>
  <ScaleCrop>false</ScaleCrop>
  <Company/>
  <LinksUpToDate>false</LinksUpToDate>
  <CharactersWithSpaces>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2018-06-21T09:00:00Z</dcterms:created>
  <dcterms:modified xsi:type="dcterms:W3CDTF">2018-06-21T09:01:00Z</dcterms:modified>
</cp:coreProperties>
</file>